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C60" w:rsidRDefault="00373CA7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AF4C60" w:rsidRDefault="00373CA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AF4C60" w:rsidRDefault="00373CA7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>
        <w:rPr>
          <w:rFonts w:ascii="Corbel" w:eastAsia="Calibri" w:hAnsi="Corbel" w:cs="Times New Roman"/>
          <w:i/>
          <w:smallCaps/>
          <w:sz w:val="24"/>
          <w:szCs w:val="24"/>
        </w:rPr>
        <w:t>2020-2023</w:t>
      </w:r>
    </w:p>
    <w:p w:rsidR="00AF4C60" w:rsidRDefault="00373CA7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alibri" w:hAnsi="Corbel" w:cs="Times New Roman"/>
          <w:i/>
          <w:sz w:val="20"/>
          <w:szCs w:val="20"/>
        </w:rPr>
        <w:t>(skrajne daty</w:t>
      </w:r>
      <w:r>
        <w:rPr>
          <w:rFonts w:ascii="Corbel" w:eastAsia="Calibri" w:hAnsi="Corbel" w:cs="Times New Roman"/>
          <w:sz w:val="20"/>
          <w:szCs w:val="20"/>
        </w:rPr>
        <w:t>)</w:t>
      </w:r>
    </w:p>
    <w:p w:rsidR="00AF4C60" w:rsidRDefault="00373CA7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b/>
          <w:bCs/>
          <w:sz w:val="20"/>
          <w:szCs w:val="20"/>
        </w:rPr>
        <w:t xml:space="preserve">Rok akademicki </w:t>
      </w:r>
      <w:r>
        <w:rPr>
          <w:rFonts w:ascii="Corbel" w:eastAsia="Calibri" w:hAnsi="Corbel" w:cs="Times New Roman"/>
          <w:b/>
          <w:bCs/>
          <w:sz w:val="20"/>
          <w:szCs w:val="20"/>
        </w:rPr>
        <w:t>2020/2021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Komunikowanie społeczne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S1S[1]O_08 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B5F40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Socjologia 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I stopnia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Rok 1, semestr I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podstawowy 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Imię i nazwisko osoby 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AF4C60" w:rsidRDefault="00373CA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AF4C60" w:rsidRDefault="00373CA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AF4C60" w:rsidRDefault="00AF4C6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AF4C60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AF4C60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AF4C60" w:rsidRDefault="00AF4C6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AF4C60" w:rsidRDefault="00AF4C6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AF4C60" w:rsidRDefault="00373CA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AF4C60" w:rsidRDefault="00373CA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AF4C60" w:rsidRDefault="00373CA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AF4C60" w:rsidRDefault="00373CA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 xml:space="preserve">zaliczenie z </w:t>
      </w:r>
      <w:r>
        <w:rPr>
          <w:rFonts w:ascii="Corbel" w:eastAsia="Calibri" w:hAnsi="Corbel" w:cs="Times New Roman"/>
          <w:smallCaps/>
          <w:sz w:val="24"/>
          <w:szCs w:val="24"/>
        </w:rPr>
        <w:t>oceną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AF4C60" w:rsidRDefault="00373CA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AF4C60" w:rsidRDefault="00AF4C6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AF4C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podstawowym aparatem teoretycznym i pojęciowym dotyczącym komunikowania społecznego</w:t>
            </w:r>
          </w:p>
        </w:tc>
      </w:tr>
      <w:tr w:rsidR="00AF4C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najważniejszymi typami komunikowania społecznego (interpersonalnym, organizacyjnym, politycznym, publicznym, masowym), ich specyfiką oraz znaczeniem w życiu jednostkowym i społecznym</w:t>
            </w:r>
          </w:p>
        </w:tc>
      </w:tr>
      <w:tr w:rsidR="00AF4C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technikami wpływu społe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cznego i ich zastosowaniem w procesach komunikacyjnych, wybranymi dysfunkcjami komunikowania oraz zagadnieniami </w:t>
            </w:r>
            <w:proofErr w:type="spellStart"/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metakomunikacji</w:t>
            </w:r>
            <w:proofErr w:type="spellEnd"/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AF4C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AF4C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stopniu zaawansowanym metody i narzędzia, łącznie z technikami pozyskiwania danych, właściwe dla socjologii, pozwalające dokonać opisu struktur i instytucji społecznych oraz procesów w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nich i między nimi zachodzących.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AF4C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posiada umiejętność przewidywania procesów i zjawisk społecznych dzięki posługiwaniu się metodami i narzędziami socjologicznymi; dokonuje samodzielnej analizy zjawisk społecznych z zakresu komunikowania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oraz współpracuje w grupie zadaniowej przyjmując w niej różne 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KU_13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AF4C60" w:rsidRDefault="00373CA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AF4C60" w:rsidRDefault="00373CA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AF4C60" w:rsidRDefault="00AF4C60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AF4C60" w:rsidRDefault="00AF4C60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Tradycje w teorii komunikacji (psychologiczna, cybernetyczna, retoryczna, semiotyczna,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socjokulturowa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krytyczna, fenomenologiczna)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Komunikowanie interpersonalne, w organizacji, polityczne, publiczne, masowe – wybrane zagadnienia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Natura komunikacji niewerbalnej, komunikowanie między płciami, kształtowanie wrażenia,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spójne komunikowanie się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Rola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metakomunikacji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w komunikowaniu organizacyjnym,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feedback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Komunikowanie w sytuacji kryzysowej. </w:t>
            </w:r>
            <w:proofErr w:type="spellStart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Employer</w:t>
            </w:r>
            <w:proofErr w:type="spellEnd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branding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3.4 Metody </w:t>
      </w:r>
      <w:r>
        <w:rPr>
          <w:rFonts w:ascii="Corbel" w:eastAsia="Calibri" w:hAnsi="Corbel" w:cs="Times New Roman"/>
          <w:b/>
          <w:sz w:val="24"/>
          <w:szCs w:val="24"/>
        </w:rPr>
        <w:t>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AF4C60" w:rsidRDefault="00AF4C60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przypadków, praca w grupach</w:t>
      </w:r>
    </w:p>
    <w:p w:rsidR="00AF4C60" w:rsidRDefault="00AF4C6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AF4C60" w:rsidRDefault="00373C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AF4C60" w:rsidRDefault="00AF4C6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9"/>
        <w:gridCol w:w="5673"/>
        <w:gridCol w:w="2118"/>
      </w:tblGrid>
      <w:tr w:rsidR="00AF4C60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AF4C60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jc w:val="center"/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</w:tr>
      <w:tr w:rsidR="00AF4C60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jc w:val="center"/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AF4C60" w:rsidRDefault="00AF4C60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 lub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Inne z udziałem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nauczyciela akademickiego</w:t>
            </w:r>
          </w:p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t xml:space="preserve">* Należy uwzględnić, że 1 pkt </w:t>
      </w:r>
      <w:r>
        <w:rPr>
          <w:rFonts w:ascii="Corbel" w:eastAsia="Calibri" w:hAnsi="Corbel" w:cs="Times New Roman"/>
          <w:i/>
          <w:sz w:val="24"/>
          <w:szCs w:val="24"/>
        </w:rPr>
        <w:t>ECTS odpowiada 25-30 godzin całkowitego nakładu pracy studenta.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07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104"/>
        <w:gridCol w:w="3970"/>
      </w:tblGrid>
      <w:tr w:rsidR="00AF4C60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AF4C60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7. LITERATURA 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19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8192"/>
      </w:tblGrid>
      <w:tr w:rsidR="00AF4C60">
        <w:trPr>
          <w:trHeight w:val="397"/>
        </w:trPr>
        <w:tc>
          <w:tcPr>
            <w:tcW w:w="8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:rsidR="00AF4C60" w:rsidRDefault="00AF4C60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McQuail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Teoria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komunikowania masowego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Goban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-Klas,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Media i komunikowanie masowe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Golka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Bariery w komunikowaniu i społeczeństwo dezinformacyjne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Komunikowanie polityczne i publiczne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Castells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Władza komunikacji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2013.  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Grzenia,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językowa w Internecie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Karwat,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Teoria prowokacji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M. Zalewska-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Turzyńska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Organizacja jako system sieci zintegrowanych relacji komunikowania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2018. 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R. Adler Ronald, L. B. Rosenfeld,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Relacje</w:t>
            </w:r>
            <w:proofErr w:type="spellEnd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interpersonalne</w:t>
            </w:r>
            <w:proofErr w:type="spellEnd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Proces porozumiewania się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2018.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F.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Anthonissen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kryzysowa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2013.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Dijk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Społeczne aspekty nowych mediów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2010.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E. Griffin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, Podstawy komun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ikacji społecznej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G.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Leathers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niewerbalna: zasady i zastosowania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2007.</w:t>
            </w:r>
          </w:p>
        </w:tc>
      </w:tr>
      <w:tr w:rsidR="00AF4C60">
        <w:trPr>
          <w:trHeight w:val="397"/>
        </w:trPr>
        <w:tc>
          <w:tcPr>
            <w:tcW w:w="8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AF4C60" w:rsidRDefault="00AF4C60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Podstawy komunikowania społecznego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2, Wrocław 2004.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O. Harris,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Feedback, czyli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Informacja zwrotna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2008.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Vickers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S.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Bavister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NLP w praktyce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201o.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A.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Lievrouw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Media alternatywne i zaangażowanie społeczne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2012.  </w:t>
            </w:r>
          </w:p>
        </w:tc>
      </w:tr>
    </w:tbl>
    <w:p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AF4C60" w:rsidRDefault="00AF4C60"/>
    <w:sectPr w:rsidR="00AF4C60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CA7" w:rsidRDefault="00373CA7">
      <w:pPr>
        <w:spacing w:after="0" w:line="240" w:lineRule="auto"/>
      </w:pPr>
      <w:r>
        <w:separator/>
      </w:r>
    </w:p>
  </w:endnote>
  <w:endnote w:type="continuationSeparator" w:id="0">
    <w:p w:rsidR="00373CA7" w:rsidRDefault="0037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CA7" w:rsidRDefault="00373CA7">
      <w:pPr>
        <w:rPr>
          <w:sz w:val="12"/>
        </w:rPr>
      </w:pPr>
      <w:r>
        <w:separator/>
      </w:r>
    </w:p>
  </w:footnote>
  <w:footnote w:type="continuationSeparator" w:id="0">
    <w:p w:rsidR="00373CA7" w:rsidRDefault="00373CA7">
      <w:pPr>
        <w:rPr>
          <w:sz w:val="12"/>
        </w:rPr>
      </w:pPr>
      <w:r>
        <w:continuationSeparator/>
      </w:r>
    </w:p>
  </w:footnote>
  <w:footnote w:id="1">
    <w:p w:rsidR="00AF4C60" w:rsidRDefault="00373CA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</w:t>
      </w:r>
      <w:r>
        <w:t xml:space="preserve">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57D"/>
    <w:multiLevelType w:val="multilevel"/>
    <w:tmpl w:val="AEBCD3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8E1B42"/>
    <w:multiLevelType w:val="multilevel"/>
    <w:tmpl w:val="D79C33D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C60"/>
    <w:rsid w:val="00373CA7"/>
    <w:rsid w:val="00AB5F40"/>
    <w:rsid w:val="00AF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F9496-CD85-47E5-990E-0286A454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5B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C2B0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C2B0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C2B07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C2B07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45B2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C2B0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C2B0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C2B0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863</Words>
  <Characters>5181</Characters>
  <Application>Microsoft Office Word</Application>
  <DocSecurity>0</DocSecurity>
  <Lines>43</Lines>
  <Paragraphs>12</Paragraphs>
  <ScaleCrop>false</ScaleCrop>
  <Company>Acer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Admin</cp:lastModifiedBy>
  <cp:revision>8</cp:revision>
  <dcterms:created xsi:type="dcterms:W3CDTF">2020-10-26T16:36:00Z</dcterms:created>
  <dcterms:modified xsi:type="dcterms:W3CDTF">2021-01-13T08:42:00Z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